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7E1FAC"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7E1FAC">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7E1FAC">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7E1FAC"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7E1FAC"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7E1FAC"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7E1FAC"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E1FAC"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7E1FAC"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7E1FAC"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E1FAC"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E1FAC"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E1FAC"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7E1FAC"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7E1FAC"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7E1FAC"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7E1FAC"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7E1FAC"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7E1FAC"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7E1FAC"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E1FAC"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E1FAC"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7E1FAC"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7E1FAC"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7E1FAC"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r w:rsidRPr="00265905">
        <w:fldChar w:fldCharType="end"/>
      </w:r>
      <w:r w:rsidRPr="007E1FAC">
        <w:fldChar w:fldCharType="begin"/>
      </w:r>
      <w:r w:rsidR="00536786" w:rsidRPr="00265905">
        <w:instrText xml:space="preserve"> TOC \o "1-3" \h \z \u </w:instrText>
      </w:r>
      <w:r w:rsidRPr="007E1FAC">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7E1FAC"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7E1FAC"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7E1FAC"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7E1FAC"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7E1FAC"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2"/>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3"/>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6"/>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7"/>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8"/>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9"/>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10"/>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2"/>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3"/>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4"/>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5"/>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6"/>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7"/>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8"/>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9"/>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20"/>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1"/>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2"/>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4"/>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w:t>
      </w:r>
      <w:r w:rsidRPr="005C49A7">
        <w:rPr>
          <w:sz w:val="28"/>
          <w:szCs w:val="28"/>
        </w:rPr>
        <w:lastRenderedPageBreak/>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5"/>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7"/>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8"/>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9"/>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30"/>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1"/>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2"/>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3"/>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4"/>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5"/>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6"/>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383" w:rsidRDefault="006A3383">
      <w:pPr>
        <w:spacing w:after="0" w:line="240" w:lineRule="auto"/>
      </w:pPr>
      <w:r>
        <w:separator/>
      </w:r>
    </w:p>
  </w:endnote>
  <w:endnote w:type="continuationSeparator" w:id="1">
    <w:p w:rsidR="006A3383" w:rsidRDefault="006A3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8F" w:rsidRDefault="007E1FAC">
    <w:pPr>
      <w:pStyle w:val="ab"/>
      <w:jc w:val="center"/>
    </w:pPr>
    <w:fldSimple w:instr=" PAGE   \* MERGEFORMAT ">
      <w:r w:rsidR="00584727">
        <w:rPr>
          <w:noProof/>
        </w:rPr>
        <w:t>188</w:t>
      </w:r>
    </w:fldSimple>
  </w:p>
  <w:p w:rsidR="00F30E8F" w:rsidRDefault="00F30E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383" w:rsidRDefault="006A3383">
      <w:pPr>
        <w:spacing w:after="0" w:line="240" w:lineRule="auto"/>
      </w:pPr>
      <w:r>
        <w:separator/>
      </w:r>
    </w:p>
  </w:footnote>
  <w:footnote w:type="continuationSeparator" w:id="1">
    <w:p w:rsidR="006A3383" w:rsidRDefault="006A3383">
      <w:pPr>
        <w:spacing w:after="0" w:line="240" w:lineRule="auto"/>
      </w:pPr>
      <w:r>
        <w:continuationSeparator/>
      </w:r>
    </w:p>
  </w:footnote>
  <w:footnote w:id="2">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8">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9">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2">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3">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4">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5">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7">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8">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9">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0">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1">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2">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3">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4">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5">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6">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8">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9">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30">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1">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2">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3">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4">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5">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6">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84727"/>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383"/>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1FAC"/>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110076</Words>
  <Characters>627438</Characters>
  <Application>Microsoft Office Word</Application>
  <DocSecurity>0</DocSecurity>
  <Lines>5228</Lines>
  <Paragraphs>1472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736042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2</cp:revision>
  <dcterms:created xsi:type="dcterms:W3CDTF">2016-11-26T04:51:00Z</dcterms:created>
  <dcterms:modified xsi:type="dcterms:W3CDTF">2016-11-26T04:51:00Z</dcterms:modified>
</cp:coreProperties>
</file>